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74"/>
        <w:jc w:val="center"/>
        <w:rPr>
          <w:szCs w:val="20"/>
        </w:rPr>
      </w:pPr>
      <w:r>
        <w:rPr>
          <w:sz w:val="20"/>
          <w:szCs w:val="20"/>
        </w:rPr>
      </w:r>
      <w:r>
        <w:t xml:space="preserve">РЕСПУБЛИКА КАРЕЛИЯ</w:t>
      </w:r>
      <w:r/>
    </w:p>
    <w:p>
      <w:pPr>
        <w:pStyle w:val="574"/>
        <w:jc w:val="center"/>
      </w:pPr>
      <w:r>
        <w:t xml:space="preserve">ЛАХДЕНПОХСКИЙ МУНИЦИПАЛЬНЫЙ РАЙОН</w:t>
      </w:r>
      <w:r/>
    </w:p>
    <w:p>
      <w:pPr>
        <w:pStyle w:val="574"/>
        <w:jc w:val="center"/>
      </w:pPr>
      <w:r/>
      <w:r/>
    </w:p>
    <w:p>
      <w:pPr>
        <w:pStyle w:val="574"/>
        <w:jc w:val="center"/>
      </w:pPr>
      <w:r>
        <w:t xml:space="preserve">АДМИНИСТРАЦИЯ </w:t>
      </w:r>
      <w:r>
        <w:t xml:space="preserve">ЭЛИСЕНВААРСКОГО СЕЛЬСКОГО ПОСЕЛЕНИЯ</w:t>
      </w:r>
      <w:r/>
    </w:p>
    <w:p>
      <w:pPr>
        <w:pStyle w:val="574"/>
      </w:pPr>
      <w:r/>
      <w:r/>
    </w:p>
    <w:p>
      <w:pPr>
        <w:pStyle w:val="574"/>
      </w:pPr>
      <w:r/>
      <w:r/>
    </w:p>
    <w:p>
      <w:pPr>
        <w:pStyle w:val="574"/>
        <w:jc w:val="center"/>
      </w:pPr>
      <w:r>
        <w:t xml:space="preserve">П О С Т А Н О В Л Е Н И Е</w:t>
      </w:r>
      <w:r/>
    </w:p>
    <w:p>
      <w:pPr>
        <w:pStyle w:val="574"/>
      </w:pPr>
      <w:r/>
      <w:r/>
    </w:p>
    <w:p>
      <w:pPr>
        <w:pStyle w:val="574"/>
      </w:pPr>
      <w:r/>
      <w:r/>
    </w:p>
    <w:p>
      <w:pPr>
        <w:pStyle w:val="574"/>
      </w:pPr>
      <w:r/>
      <w:r/>
    </w:p>
    <w:p>
      <w:pPr>
        <w:pStyle w:val="574"/>
      </w:pPr>
      <w:r>
        <w:t xml:space="preserve">от</w:t>
      </w:r>
      <w:r>
        <w:t xml:space="preserve">  </w:t>
      </w:r>
      <w:r>
        <w:t xml:space="preserve">05 июля</w:t>
      </w:r>
      <w:r>
        <w:t xml:space="preserve"> 2023</w:t>
      </w:r>
      <w:r>
        <w:t xml:space="preserve"> года               </w:t>
      </w:r>
      <w:r>
        <w:t xml:space="preserve">                                            </w:t>
      </w:r>
      <w:r>
        <w:tab/>
        <w:tab/>
      </w:r>
      <w:r>
        <w:t xml:space="preserve">   </w:t>
      </w:r>
      <w:r>
        <w:t xml:space="preserve">         </w:t>
      </w:r>
      <w:r>
        <w:t xml:space="preserve">№</w:t>
      </w:r>
      <w:r>
        <w:t xml:space="preserve"> </w:t>
      </w:r>
      <w:r/>
    </w:p>
    <w:p>
      <w:pPr>
        <w:pStyle w:val="574"/>
      </w:pPr>
      <w:r>
        <w:t xml:space="preserve">пос. Элисенваара</w:t>
      </w:r>
      <w:r/>
    </w:p>
    <w:p>
      <w:pPr>
        <w:pStyle w:val="574"/>
      </w:pPr>
      <w:r/>
      <w:r/>
    </w:p>
    <w:p>
      <w:pPr>
        <w:pStyle w:val="574"/>
      </w:pPr>
      <w:r/>
      <w:r/>
    </w:p>
    <w:p>
      <w:pPr>
        <w:pStyle w:val="574"/>
        <w:ind w:left="0" w:right="4677" w:firstLine="0"/>
        <w:jc w:val="both"/>
      </w:pPr>
      <w:r>
        <w:rPr>
          <w:bCs/>
        </w:rPr>
      </w:r>
      <w:r>
        <w:t xml:space="preserve">О внесении изменений и дополнений  в постановление Администрации Элисенваарского сельского поселения от 30</w:t>
      </w:r>
      <w:r>
        <w:t xml:space="preserve">.12.2022</w:t>
      </w:r>
      <w:r>
        <w:t xml:space="preserve"> г. № 57 </w:t>
      </w:r>
      <w:r>
        <w:t xml:space="preserve">«Об утверждении перечней и кодов главных администраторов доходов и источников финансирования дефицита бюджета </w:t>
      </w:r>
      <w:r>
        <w:rPr>
          <w:bCs/>
        </w:rPr>
        <w:t xml:space="preserve">Элисенваарского</w:t>
      </w:r>
      <w:r>
        <w:rPr>
          <w:bCs/>
        </w:rPr>
        <w:t xml:space="preserve"> сельского поселения</w:t>
      </w:r>
      <w:r>
        <w:t xml:space="preserve">я  на 2023 год</w:t>
      </w:r>
      <w:r>
        <w:rPr>
          <w:bCs/>
        </w:rPr>
        <w:t xml:space="preserve">».</w:t>
      </w:r>
      <w:r/>
    </w:p>
    <w:p>
      <w:pPr>
        <w:pStyle w:val="574"/>
      </w:pPr>
      <w:r/>
      <w:r/>
    </w:p>
    <w:p>
      <w:pPr>
        <w:pStyle w:val="574"/>
      </w:pPr>
      <w:r/>
      <w:r/>
    </w:p>
    <w:p>
      <w:pPr>
        <w:pStyle w:val="574"/>
      </w:pPr>
      <w:r/>
      <w:r/>
    </w:p>
    <w:p>
      <w:pPr>
        <w:pStyle w:val="574"/>
        <w:ind w:firstLine="540"/>
        <w:jc w:val="both"/>
        <w:outlineLvl w:val="0"/>
      </w:pPr>
      <w:r>
        <w:t xml:space="preserve">В соответствии со статьей 160.1, пунктом 4 статьи 160.2</w:t>
      </w:r>
      <w:r>
        <w:t xml:space="preserve"> Бюджетного кодекса Российской Федерации, Администрация </w:t>
      </w:r>
      <w:r>
        <w:t xml:space="preserve">Элисенваарского</w:t>
      </w:r>
      <w:r>
        <w:t xml:space="preserve"> сельского поселения</w:t>
      </w:r>
      <w:r>
        <w:t xml:space="preserve"> ПОСТАНОВЛЯЕТ:</w:t>
      </w:r>
      <w:r/>
    </w:p>
    <w:p>
      <w:pPr>
        <w:pStyle w:val="574"/>
        <w:numPr>
          <w:ilvl w:val="0"/>
          <w:numId w:val="4"/>
        </w:numPr>
        <w:ind w:left="0" w:firstLine="567"/>
        <w:jc w:val="both"/>
        <w:tabs>
          <w:tab w:val="left" w:pos="851" w:leader="none"/>
        </w:tabs>
        <w:outlineLvl w:val="0"/>
      </w:pPr>
      <w:r>
        <w:rPr>
          <w:rFonts w:ascii="Times New Roman" w:hAnsi="Times New Roman" w:cs="Times New Roman" w:eastAsia="Times New Roman"/>
          <w:sz w:val="24"/>
          <w:szCs w:val="24"/>
          <w:lang w:eastAsia="ru-RU"/>
        </w:rPr>
      </w:r>
      <w:r>
        <w:t xml:space="preserve">П</w:t>
      </w:r>
      <w:r>
        <w:t xml:space="preserve">риложение</w:t>
      </w:r>
      <w:r>
        <w:t xml:space="preserve"> 1</w:t>
      </w:r>
      <w:r>
        <w:t xml:space="preserve"> «Перечень и коды главных администраторов доходов бюджета </w:t>
      </w:r>
      <w:r>
        <w:rPr>
          <w:rFonts w:ascii="Times New Roman" w:hAnsi="Times New Roman"/>
          <w:sz w:val="24"/>
          <w:szCs w:val="24"/>
        </w:rPr>
        <w:t xml:space="preserve">Элисенваарского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>
        <w:t xml:space="preserve"> на 2023 год» </w:t>
      </w:r>
      <w:r>
        <w:t xml:space="preserve">изложить в новой редакции.</w:t>
      </w:r>
      <w:r>
        <w:t xml:space="preserve"> </w:t>
      </w:r>
      <w:r/>
    </w:p>
    <w:p>
      <w:pPr>
        <w:pStyle w:val="574"/>
        <w:numPr>
          <w:ilvl w:val="0"/>
          <w:numId w:val="4"/>
        </w:numPr>
        <w:ind w:left="0" w:firstLine="567"/>
        <w:jc w:val="both"/>
        <w:tabs>
          <w:tab w:val="left" w:pos="851" w:leader="none"/>
        </w:tabs>
      </w:pPr>
      <w:r>
        <w:rPr>
          <w:rFonts w:ascii="Times New Roman" w:hAnsi="Times New Roman" w:cs="Times New Roman" w:eastAsia="Times New Roman"/>
          <w:sz w:val="24"/>
          <w:szCs w:val="24"/>
          <w:lang w:eastAsia="ru-RU"/>
        </w:rPr>
      </w:r>
      <w:r>
        <w:t xml:space="preserve">Д</w:t>
      </w:r>
      <w:r>
        <w:t xml:space="preserve">овести до главн</w:t>
      </w:r>
      <w:r>
        <w:t xml:space="preserve">ых</w:t>
      </w:r>
      <w:r>
        <w:t xml:space="preserve"> </w:t>
      </w:r>
      <w:r>
        <w:t xml:space="preserve">администраторов доходов </w:t>
      </w:r>
      <w:r>
        <w:t xml:space="preserve"> бюджета </w:t>
      </w:r>
      <w:r>
        <w:t xml:space="preserve">Элисенваарского</w:t>
      </w:r>
      <w:r>
        <w:t xml:space="preserve"> сельского поселения</w:t>
      </w:r>
      <w:r>
        <w:t xml:space="preserve"> изменения </w:t>
      </w:r>
      <w:r>
        <w:t xml:space="preserve">согласно Приложению 1 к настоящему Постановлению.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 xml:space="preserve"> </w:t>
      </w:r>
      <w:r/>
    </w:p>
    <w:p>
      <w:pPr>
        <w:ind w:left="0" w:right="0" w:firstLine="567"/>
        <w:jc w:val="both"/>
        <w:tabs>
          <w:tab w:val="left" w:pos="851" w:leader="none"/>
        </w:tabs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lang w:eastAsia="ru-RU"/>
        </w:rPr>
        <w:t xml:space="preserve">4.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lang w:eastAsia="ru-RU"/>
        </w:rPr>
        <w:t xml:space="preserve"> </w:t>
      </w:r>
      <w:r>
        <w:rPr>
          <w:sz w:val="24"/>
        </w:rPr>
        <w:t xml:space="preserve">Настоящее постановление вступает в силу с момента подписания, подлежит </w:t>
      </w:r>
      <w:r>
        <w:rPr>
          <w:sz w:val="24"/>
        </w:rPr>
        <w:t xml:space="preserve">размещению на сайте Администрации </w:t>
      </w:r>
      <w:r>
        <w:rPr>
          <w:sz w:val="24"/>
        </w:rPr>
        <w:t xml:space="preserve">Элисенваарского</w:t>
      </w:r>
      <w:r>
        <w:rPr>
          <w:sz w:val="24"/>
        </w:rPr>
        <w:t xml:space="preserve"> сельского поселения</w:t>
      </w:r>
      <w:r>
        <w:rPr>
          <w:sz w:val="24"/>
        </w:rPr>
        <w:t xml:space="preserve"> </w:t>
      </w:r>
      <w:r>
        <w:rPr>
          <w:sz w:val="24"/>
          <w:lang w:val="en-US"/>
        </w:rPr>
        <w:t xml:space="preserve">http</w:t>
      </w:r>
      <w:r>
        <w:rPr>
          <w:sz w:val="24"/>
        </w:rPr>
        <w:t xml:space="preserve">://</w:t>
      </w:r>
      <w:r>
        <w:rPr>
          <w:sz w:val="24"/>
          <w:lang w:val="en-US"/>
        </w:rPr>
        <w:t xml:space="preserve">elisenvaara</w:t>
      </w:r>
      <w:r>
        <w:rPr>
          <w:sz w:val="24"/>
        </w:rPr>
        <w:t xml:space="preserve">.</w:t>
      </w:r>
      <w:r>
        <w:rPr>
          <w:sz w:val="24"/>
          <w:lang w:val="en-US"/>
        </w:rPr>
        <w:t xml:space="preserve">ru</w:t>
      </w:r>
      <w:r>
        <w:rPr>
          <w:sz w:val="24"/>
        </w:rPr>
        <w:t xml:space="preserve">/</w:t>
      </w:r>
      <w:r>
        <w:rPr>
          <w:sz w:val="24"/>
        </w:rPr>
        <w:t xml:space="preserve">.</w:t>
      </w:r>
      <w:r>
        <w:rPr>
          <w:sz w:val="24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lang w:eastAsia="ru-RU"/>
        </w:rPr>
      </w:r>
      <w:r>
        <w:rPr>
          <w:sz w:val="24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lang w:eastAsia="ru-RU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color w:val="000000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4"/>
          <w:szCs w:val="24"/>
          <w:lang w:eastAsia="ru-RU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color w:val="000000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4"/>
          <w:szCs w:val="24"/>
          <w:lang w:eastAsia="ru-RU"/>
        </w:rPr>
      </w:r>
      <w:r/>
    </w:p>
    <w:p>
      <w:pPr>
        <w:ind w:firstLine="709"/>
        <w:jc w:val="both"/>
        <w:rPr>
          <w:rFonts w:ascii="Times New Roman" w:hAnsi="Times New Roman" w:cs="Times New Roman" w:eastAsia="Times New Roman"/>
          <w:color w:val="000000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4"/>
          <w:szCs w:val="24"/>
          <w:lang w:eastAsia="ru-RU"/>
        </w:rPr>
      </w:r>
      <w:r/>
    </w:p>
    <w:p>
      <w:pPr>
        <w:ind w:left="0" w:firstLine="0"/>
        <w:jc w:val="both"/>
        <w:rPr>
          <w:rFonts w:ascii="Times New Roman" w:hAnsi="Times New Roman" w:cs="Times New Roman" w:eastAsia="Times New Roman"/>
          <w:color w:val="000000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lang w:eastAsia="ru-RU"/>
        </w:rPr>
      </w:r>
      <w:r/>
    </w:p>
    <w:p>
      <w:pPr>
        <w:pStyle w:val="574"/>
        <w:ind w:left="0" w:right="0" w:firstLine="567"/>
        <w:jc w:val="both"/>
        <w:outlineLvl w:val="0"/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lang w:eastAsia="ru-RU"/>
        </w:rPr>
      </w:r>
      <w:r/>
    </w:p>
    <w:p>
      <w:pPr>
        <w:pStyle w:val="574"/>
        <w:ind w:firstLine="709"/>
        <w:jc w:val="both"/>
        <w:outlineLvl w:val="0"/>
      </w:pPr>
      <w:r/>
      <w:r/>
    </w:p>
    <w:p>
      <w:pPr>
        <w:pStyle w:val="574"/>
        <w:ind w:firstLine="0"/>
        <w:jc w:val="both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574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574"/>
        <w:jc w:val="both"/>
      </w:pPr>
      <w:r>
        <w:t xml:space="preserve">Глав</w:t>
      </w:r>
      <w:r>
        <w:t xml:space="preserve">а</w:t>
      </w:r>
      <w:r/>
    </w:p>
    <w:p>
      <w:pPr>
        <w:pStyle w:val="574"/>
        <w:jc w:val="both"/>
      </w:pPr>
      <w:r>
        <w:t xml:space="preserve">Элисенваарского сельского поселения                                                              </w:t>
      </w:r>
      <w:r>
        <w:t xml:space="preserve"> </w:t>
      </w:r>
      <w:r>
        <w:t xml:space="preserve">С.А. </w:t>
      </w:r>
      <w:r>
        <w:t xml:space="preserve">Орлов</w:t>
      </w:r>
      <w:r>
        <w:t xml:space="preserve">  </w:t>
      </w:r>
      <w:r/>
    </w:p>
    <w:p>
      <w:pPr>
        <w:pStyle w:val="574"/>
        <w:jc w:val="both"/>
      </w:pPr>
      <w:r/>
      <w:r/>
    </w:p>
    <w:p>
      <w:pPr>
        <w:pStyle w:val="574"/>
        <w:ind w:left="720"/>
        <w:jc w:val="righ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574"/>
        <w:ind w:left="720"/>
        <w:jc w:val="righ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574"/>
        <w:ind w:left="720"/>
        <w:jc w:val="righ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574"/>
        <w:ind w:left="720"/>
        <w:jc w:val="righ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574"/>
        <w:ind w:left="720"/>
        <w:jc w:val="righ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574"/>
        <w:ind w:left="0"/>
        <w:jc w:val="lef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574"/>
        <w:ind w:left="720"/>
        <w:jc w:val="righ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574"/>
        <w:ind w:left="720"/>
        <w:jc w:val="righ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574"/>
        <w:ind w:left="720"/>
        <w:jc w:val="righ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574"/>
        <w:ind w:left="720"/>
        <w:jc w:val="righ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574"/>
        <w:ind w:left="720"/>
        <w:jc w:val="righ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574"/>
        <w:ind w:left="720"/>
        <w:jc w:val="righ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574"/>
        <w:ind w:left="72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1 </w:t>
      </w:r>
      <w:r/>
    </w:p>
    <w:p>
      <w:pPr>
        <w:pStyle w:val="574"/>
        <w:ind w:left="72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постановлению</w:t>
      </w:r>
      <w:r>
        <w:rPr>
          <w:sz w:val="20"/>
          <w:szCs w:val="20"/>
        </w:rPr>
        <w:t xml:space="preserve"> Элисенваарского</w:t>
      </w:r>
      <w:r>
        <w:rPr>
          <w:sz w:val="20"/>
          <w:szCs w:val="20"/>
        </w:rPr>
        <w:t xml:space="preserve"> сельского</w:t>
      </w:r>
      <w:r>
        <w:rPr>
          <w:sz w:val="20"/>
          <w:szCs w:val="20"/>
        </w:rPr>
      </w:r>
      <w:r/>
    </w:p>
    <w:p>
      <w:pPr>
        <w:pStyle w:val="574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поселения от 05.07.2023 года №</w:t>
      </w:r>
      <w:r/>
    </w:p>
    <w:p>
      <w:pPr>
        <w:pStyle w:val="574"/>
        <w:jc w:val="righ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57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pStyle w:val="57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ПЕРЕЧЕНЬ</w:t>
      </w:r>
      <w:r/>
    </w:p>
    <w:p>
      <w:pPr>
        <w:pStyle w:val="57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и коды главных администраторов доходов бюджета Элисенваарского сельского поселения</w:t>
      </w:r>
      <w:r>
        <w:rPr>
          <w:b/>
          <w:sz w:val="26"/>
          <w:szCs w:val="26"/>
        </w:rPr>
        <w:t xml:space="preserve">, закрепл</w:t>
      </w:r>
      <w:r>
        <w:rPr>
          <w:b/>
          <w:sz w:val="26"/>
          <w:szCs w:val="26"/>
        </w:rPr>
        <w:t xml:space="preserve">яемые за ними виды (подвиды) доходов бюджета</w:t>
      </w:r>
      <w:r/>
    </w:p>
    <w:p>
      <w:pPr>
        <w:pStyle w:val="574"/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Элисенваарског</w:t>
      </w:r>
      <w:r>
        <w:rPr>
          <w:b/>
          <w:sz w:val="26"/>
          <w:szCs w:val="26"/>
        </w:rPr>
        <w:t xml:space="preserve">о сельского поселения</w:t>
      </w:r>
      <w:r>
        <w:rPr>
          <w:b/>
          <w:sz w:val="26"/>
          <w:szCs w:val="26"/>
        </w:rPr>
        <w:t xml:space="preserve"> на 20</w:t>
      </w:r>
      <w:r>
        <w:rPr>
          <w:b/>
          <w:sz w:val="26"/>
          <w:szCs w:val="26"/>
        </w:rPr>
        <w:t xml:space="preserve">23</w:t>
      </w:r>
      <w:r>
        <w:rPr>
          <w:b/>
          <w:sz w:val="26"/>
          <w:szCs w:val="26"/>
        </w:rPr>
        <w:t xml:space="preserve"> год</w:t>
      </w:r>
      <w:r>
        <w:rPr>
          <w:sz w:val="26"/>
          <w:szCs w:val="26"/>
        </w:rPr>
      </w:r>
      <w:r/>
    </w:p>
    <w:p>
      <w:pPr>
        <w:pStyle w:val="574"/>
        <w:jc w:val="right"/>
      </w:pPr>
      <w:r/>
      <w:r/>
    </w:p>
    <w:tbl>
      <w:tblPr>
        <w:tblW w:w="9824" w:type="dxa"/>
        <w:tblInd w:w="-7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036"/>
        <w:gridCol w:w="2464"/>
        <w:gridCol w:w="6324"/>
      </w:tblGrid>
      <w:tr>
        <w:trPr>
          <w:cantSplit/>
          <w:trHeight w:val="531"/>
        </w:trPr>
        <w:tc>
          <w:tcPr>
            <w:gridSpan w:val="2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3500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бюджетной классификации Российской Федерации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</w:tcBorders>
            <w:tcW w:w="6324" w:type="dxa"/>
            <w:vAlign w:val="center"/>
            <w:vMerge w:val="restart"/>
            <w:textDirection w:val="lrTb"/>
            <w:noWrap w:val="false"/>
          </w:tcPr>
          <w:p>
            <w:pPr>
              <w:pStyle w:val="5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доходов бюджета</w:t>
            </w:r>
            <w:r/>
          </w:p>
          <w:p>
            <w:pPr>
              <w:pStyle w:val="5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Элисенваарского сельского поселения 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1144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center"/>
            <w:textDirection w:val="lrTb"/>
            <w:noWrap w:val="false"/>
          </w:tcPr>
          <w:p>
            <w:pPr>
              <w:pStyle w:val="574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главного администратора доходов бюджета</w:t>
            </w:r>
            <w:r>
              <w:rPr>
                <w:rFonts w:eastAsia="Calibri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center"/>
            <w:textDirection w:val="lrTb"/>
            <w:noWrap w:val="false"/>
          </w:tcPr>
          <w:p>
            <w:pPr>
              <w:pStyle w:val="574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в</w:t>
            </w:r>
            <w:r>
              <w:rPr>
                <w:rFonts w:eastAsia="Calibri"/>
                <w:sz w:val="20"/>
                <w:szCs w:val="20"/>
              </w:rPr>
              <w:t xml:space="preserve">ида, подвида </w:t>
            </w:r>
            <w:r>
              <w:rPr>
                <w:rFonts w:eastAsia="Calibri"/>
                <w:sz w:val="20"/>
                <w:szCs w:val="20"/>
              </w:rPr>
              <w:t xml:space="preserve">доходов бюджета </w:t>
            </w:r>
            <w:r>
              <w:rPr>
                <w:rFonts w:eastAsia="Calibri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center"/>
            <w:vMerge w:val="continue"/>
            <w:textDirection w:val="lrTb"/>
            <w:noWrap w:val="false"/>
          </w:tcPr>
          <w:p>
            <w:pPr>
              <w:pStyle w:val="574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</w:r>
            <w:r/>
          </w:p>
        </w:tc>
      </w:tr>
      <w:tr>
        <w:trPr>
          <w:trHeight w:val="307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center"/>
            <w:textDirection w:val="lrTb"/>
            <w:noWrap w:val="false"/>
          </w:tcPr>
          <w:p>
            <w:pPr>
              <w:pStyle w:val="574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</w:rPr>
              <w:t xml:space="preserve">1</w:t>
            </w:r>
            <w:r>
              <w:rPr>
                <w:rFonts w:eastAsia="Calibri"/>
                <w:sz w:val="20"/>
                <w:szCs w:val="20"/>
                <w:lang w:val="en-US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center"/>
            <w:textDirection w:val="lrTb"/>
            <w:noWrap w:val="false"/>
          </w:tcPr>
          <w:p>
            <w:pPr>
              <w:pStyle w:val="574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 xml:space="preserve">2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center"/>
            <w:textDirection w:val="lrTb"/>
            <w:noWrap w:val="false"/>
          </w:tcPr>
          <w:p>
            <w:pPr>
              <w:pStyle w:val="574"/>
              <w:jc w:val="center"/>
              <w:rPr>
                <w:rFonts w:ascii="Arial" w:hAnsi="Arial"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 xml:space="preserve">3</w:t>
            </w:r>
            <w:r>
              <w:rPr>
                <w:rFonts w:ascii="Arial" w:hAnsi="Arial" w:eastAsia="Calibri"/>
                <w:sz w:val="20"/>
                <w:szCs w:val="20"/>
              </w:rPr>
            </w:r>
            <w:r/>
          </w:p>
        </w:tc>
      </w:tr>
      <w:tr>
        <w:trPr>
          <w:trHeight w:val="307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center"/>
            <w:textDirection w:val="lrTb"/>
            <w:noWrap w:val="false"/>
          </w:tcPr>
          <w:p>
            <w:pPr>
              <w:pStyle w:val="57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031</w:t>
            </w:r>
            <w:r>
              <w:rPr>
                <w:rFonts w:eastAsia="Calibri"/>
                <w:b/>
              </w:rPr>
            </w:r>
            <w:r/>
          </w:p>
        </w:tc>
        <w:tc>
          <w:tcPr>
            <w:tcBorders>
              <w:left w:val="non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center"/>
            <w:textDirection w:val="lrTb"/>
            <w:noWrap w:val="false"/>
          </w:tcPr>
          <w:p>
            <w:pPr>
              <w:pStyle w:val="574"/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</w:r>
            <w:r/>
          </w:p>
        </w:tc>
        <w:tc>
          <w:tcPr>
            <w:tcBorders>
              <w:left w:val="non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center"/>
            <w:textDirection w:val="lrTb"/>
            <w:noWrap w:val="false"/>
          </w:tcPr>
          <w:p>
            <w:pPr>
              <w:pStyle w:val="57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Администрация Лахденпохского</w:t>
            </w:r>
            <w:r>
              <w:rPr>
                <w:rFonts w:eastAsia="Calibri"/>
                <w:b/>
              </w:rPr>
            </w:r>
            <w:r/>
          </w:p>
          <w:p>
            <w:pPr>
              <w:pStyle w:val="57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муниципального района</w:t>
            </w:r>
            <w:r/>
          </w:p>
        </w:tc>
      </w:tr>
      <w:tr>
        <w:trPr>
          <w:trHeight w:val="630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1 16 02020 02 0000 140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</w:pPr>
            <w:r>
              <w:rPr>
                <w:sz w:val="22"/>
                <w:szCs w:val="22"/>
              </w:rPr>
              <w:t xml:space="preserve"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  <w:r/>
          </w:p>
        </w:tc>
      </w:tr>
      <w:tr>
        <w:trPr>
          <w:trHeight w:val="519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center"/>
            <w:textDirection w:val="lrTb"/>
            <w:noWrap w:val="false"/>
          </w:tcPr>
          <w:p>
            <w:pPr>
              <w:pStyle w:val="57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036</w:t>
            </w:r>
            <w:r/>
          </w:p>
        </w:tc>
        <w:tc>
          <w:tcPr>
            <w:tcBorders>
              <w:left w:val="non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center"/>
            <w:textDirection w:val="lrTb"/>
            <w:noWrap w:val="false"/>
          </w:tcPr>
          <w:p>
            <w:pPr>
              <w:pStyle w:val="574"/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</w:r>
            <w:r/>
          </w:p>
        </w:tc>
        <w:tc>
          <w:tcPr>
            <w:tcBorders>
              <w:left w:val="non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center"/>
            <w:textDirection w:val="lrTb"/>
            <w:noWrap w:val="false"/>
          </w:tcPr>
          <w:p>
            <w:pPr>
              <w:pStyle w:val="57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Администрация Элисенваарского сельского поселения</w:t>
            </w:r>
            <w:r/>
          </w:p>
        </w:tc>
      </w:tr>
      <w:tr>
        <w:trPr>
          <w:trHeight w:val="424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1 08 04020 01 </w:t>
            </w: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000 110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</w:t>
            </w:r>
            <w:r>
              <w:rPr>
                <w:sz w:val="22"/>
                <w:szCs w:val="22"/>
              </w:rPr>
              <w:t xml:space="preserve">овершение нотариальных действий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424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1 11 05075 10 0000 120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сдачи в аренду имущества, составляющего казну сельских  поселений (за исключением земельных участков)</w:t>
            </w:r>
            <w:r/>
          </w:p>
        </w:tc>
      </w:tr>
      <w:tr>
        <w:trPr>
          <w:trHeight w:val="789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1 11 09045 10 0000 120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/>
          </w:p>
        </w:tc>
      </w:tr>
      <w:tr>
        <w:trPr>
          <w:trHeight w:val="485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1 13 01995 10 0000 130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доходы от оказания платных услуг (работ) получателями средств бюджетов сельских поселений</w:t>
            </w:r>
            <w:r/>
          </w:p>
        </w:tc>
      </w:tr>
      <w:tr>
        <w:trPr>
          <w:trHeight w:val="293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1 13 02995 10 0000 130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доходы от компенсации затрат бюджетов сельских поселений</w:t>
            </w:r>
            <w:r/>
          </w:p>
        </w:tc>
      </w:tr>
      <w:tr>
        <w:trPr>
          <w:trHeight w:val="583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vMerge w:val="restart"/>
            <w:textDirection w:val="lrTb"/>
            <w:noWrap w:val="false"/>
          </w:tcPr>
          <w:p>
            <w:pPr>
              <w:pStyle w:val="574"/>
              <w:jc w:val="center"/>
            </w:pPr>
            <w:r>
              <w:rPr>
                <w:sz w:val="22"/>
                <w:szCs w:val="22"/>
              </w:rPr>
              <w:t xml:space="preserve">036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vMerge w:val="restart"/>
            <w:textDirection w:val="lrTb"/>
            <w:noWrap w:val="false"/>
          </w:tcPr>
          <w:p>
            <w:pPr>
              <w:pStyle w:val="574"/>
            </w:pPr>
            <w:r>
              <w:rPr>
                <w:sz w:val="22"/>
                <w:szCs w:val="22"/>
              </w:rPr>
              <w:t xml:space="preserve">1 13 02065 10 0000 130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vMerge w:val="restart"/>
            <w:textDirection w:val="lrTb"/>
            <w:noWrap w:val="false"/>
          </w:tcPr>
          <w:p>
            <w:pPr>
              <w:pStyle w:val="574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  <w:r>
              <w:rPr>
                <w:rFonts w:ascii="Times New Roman" w:hAnsi="Times New Roman" w:cs="Times New Roman" w:eastAsia="Times New Roman"/>
                <w:color w:val="000000" w:themeColor="text1"/>
                <w:sz w:val="22"/>
                <w:highlight w:val="white"/>
              </w:rPr>
              <w:t xml:space="preserve">Доходы, поступающие в порядке возмещения расходов, понесенных в связи с эксплуатацией имущества поселений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  <w:r/>
          </w:p>
        </w:tc>
      </w:tr>
      <w:tr>
        <w:trPr>
          <w:trHeight w:val="789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1 14 02053 10 0000 410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реализации иного имущества, наход</w:t>
            </w:r>
            <w:r>
              <w:rPr>
                <w:sz w:val="22"/>
                <w:szCs w:val="22"/>
              </w:rPr>
              <w:t xml:space="preserve">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имуществу.</w:t>
            </w:r>
            <w:r/>
          </w:p>
        </w:tc>
      </w:tr>
      <w:tr>
        <w:trPr>
          <w:trHeight w:val="630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1 14 02053 10 0000 440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реализации иного имущества, находящего</w:t>
            </w:r>
            <w:r>
              <w:rPr>
                <w:sz w:val="22"/>
                <w:szCs w:val="22"/>
              </w:rPr>
              <w:t xml:space="preserve">ся в собственности 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имуществу.</w:t>
            </w:r>
            <w:r/>
          </w:p>
        </w:tc>
      </w:tr>
      <w:tr>
        <w:trPr>
          <w:trHeight w:val="450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vMerge w:val="restart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vMerge w:val="restart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1 14 06025 10 0000 430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vMerge w:val="restart"/>
            <w:textDirection w:val="lrTb"/>
            <w:noWrap w:val="false"/>
          </w:tcPr>
          <w:p>
            <w:pPr>
              <w:pStyle w:val="421"/>
              <w:rPr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  <w:r>
              <w:rPr>
                <w:sz w:val="22"/>
              </w:rPr>
            </w:r>
            <w:r/>
          </w:p>
        </w:tc>
      </w:tr>
      <w:tr>
        <w:trPr>
          <w:trHeight w:val="630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 xml:space="preserve">036</w:t>
            </w:r>
            <w:r>
              <w:rPr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1 16 10031 10 0000 140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  <w:r/>
          </w:p>
        </w:tc>
      </w:tr>
      <w:tr>
        <w:trPr>
          <w:trHeight w:val="630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 xml:space="preserve">036</w:t>
            </w:r>
            <w:r>
              <w:rPr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1 16 10032 10 0000 140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  <w:r/>
          </w:p>
        </w:tc>
      </w:tr>
      <w:tr>
        <w:trPr>
          <w:trHeight w:val="630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1 16 10100 10 0000 140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  <w:r/>
          </w:p>
        </w:tc>
      </w:tr>
      <w:tr>
        <w:trPr>
          <w:trHeight w:val="630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1 16 10062 10 0000 140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</w:t>
            </w:r>
            <w:r>
              <w:rPr>
                <w:sz w:val="22"/>
                <w:szCs w:val="22"/>
                <w:lang w:eastAsia="ru-RU"/>
              </w:rPr>
              <w:t xml:space="preserve">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r/>
          </w:p>
        </w:tc>
      </w:tr>
      <w:tr>
        <w:trPr>
          <w:trHeight w:val="630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1 16 11</w:t>
            </w: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64 01 0000 140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283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1 17 01050 10 0000 180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Невыясненные поступления, зачисляемые в бюджеты сельских поселений</w:t>
            </w:r>
            <w:r/>
          </w:p>
        </w:tc>
      </w:tr>
      <w:tr>
        <w:trPr>
          <w:trHeight w:val="350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1 17 05050 10 0000 180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неналоговые доходы бюджетов сельских поселений</w:t>
            </w:r>
            <w:r/>
          </w:p>
        </w:tc>
      </w:tr>
      <w:tr>
        <w:trPr>
          <w:trHeight w:val="529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ind w:right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18 0</w:t>
            </w:r>
            <w:r>
              <w:rPr>
                <w:sz w:val="22"/>
                <w:szCs w:val="22"/>
              </w:rPr>
              <w:t xml:space="preserve">1520 10 0000 150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Перечисления из бюджетов сельских поселений по решениям о взыскании средств, предоставленных из иных бюджетов бюджетной системы Российской Федерации</w:t>
            </w:r>
            <w:r/>
          </w:p>
        </w:tc>
      </w:tr>
      <w:tr>
        <w:trPr>
          <w:trHeight w:val="529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ind w:right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18 0</w:t>
            </w:r>
            <w:r>
              <w:rPr>
                <w:sz w:val="22"/>
                <w:szCs w:val="22"/>
              </w:rPr>
              <w:t xml:space="preserve">2500 10 0000 15</w:t>
            </w: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  <w:r/>
          </w:p>
        </w:tc>
      </w:tr>
      <w:tr>
        <w:trPr>
          <w:trHeight w:val="529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ind w:right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 xml:space="preserve">15001 10 0000 150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Дотации бюджетам сельских поселений на выравнивание бюджетной обеспеченности </w:t>
            </w:r>
            <w:r/>
          </w:p>
        </w:tc>
      </w:tr>
      <w:tr>
        <w:trPr>
          <w:trHeight w:val="630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 xml:space="preserve">20</w:t>
            </w:r>
            <w:r>
              <w:rPr>
                <w:sz w:val="22"/>
                <w:szCs w:val="22"/>
              </w:rPr>
              <w:t xml:space="preserve">041 10 00</w:t>
            </w:r>
            <w:r>
              <w:rPr>
                <w:sz w:val="22"/>
                <w:szCs w:val="22"/>
              </w:rPr>
              <w:t xml:space="preserve">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2 02 29999 10 0000 150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numPr>
                <w:ilvl w:val="0"/>
                <w:numId w:val="1"/>
              </w:numPr>
              <w:jc w:val="both"/>
              <w:keepNext/>
              <w:rPr>
                <w:b/>
                <w:bCs/>
                <w:sz w:val="22"/>
                <w:szCs w:val="22"/>
              </w:rPr>
              <w:outlineLvl w:val="0"/>
            </w:pPr>
            <w:r>
              <w:rPr>
                <w:bCs/>
                <w:sz w:val="22"/>
                <w:szCs w:val="22"/>
              </w:rPr>
              <w:t xml:space="preserve">Прочие субсидии бюджетам сельских поселений</w:t>
            </w:r>
            <w:r>
              <w:rPr>
                <w:b/>
                <w:bCs/>
                <w:sz w:val="22"/>
                <w:szCs w:val="22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ind w:right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 xml:space="preserve">30024 10 0000 150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бюджетам сельских поселений на выполнение передаваемых полномочий субъектов Российской Федерации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 xml:space="preserve">35118 10 0000 150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numPr>
                <w:ilvl w:val="0"/>
                <w:numId w:val="1"/>
              </w:numPr>
              <w:ind w:left="-21" w:hanging="111"/>
              <w:jc w:val="both"/>
              <w:keepNext/>
              <w:rPr>
                <w:b/>
                <w:bCs/>
                <w:sz w:val="22"/>
                <w:szCs w:val="22"/>
              </w:rPr>
              <w:outlineLvl w:val="0"/>
            </w:pPr>
            <w:r>
              <w:rPr>
                <w:bCs/>
                <w:sz w:val="22"/>
                <w:szCs w:val="22"/>
              </w:rPr>
              <w:t xml:space="preserve"> 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ind w:right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 xml:space="preserve">40014 10 0000 150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ind w:right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 xml:space="preserve">45160</w:t>
            </w:r>
            <w:r>
              <w:rPr>
                <w:sz w:val="22"/>
                <w:szCs w:val="22"/>
              </w:rPr>
              <w:t xml:space="preserve"> 10 00</w:t>
            </w:r>
            <w:r>
              <w:rPr>
                <w:sz w:val="22"/>
                <w:szCs w:val="22"/>
              </w:rPr>
              <w:t xml:space="preserve">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Межбюджетные трансферты, передаваемые бюджетам сельских поселений для компенсации дополнительных расходов, возникших в результате решений принятых органами власти другого уровня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ind w:right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  <w:t xml:space="preserve">5</w:t>
            </w:r>
            <w:r>
              <w:rPr>
                <w:sz w:val="22"/>
                <w:szCs w:val="22"/>
              </w:rPr>
              <w:t xml:space="preserve">576</w:t>
            </w:r>
            <w:r>
              <w:rPr>
                <w:sz w:val="22"/>
                <w:szCs w:val="22"/>
              </w:rPr>
              <w:t xml:space="preserve"> 10 0000 150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Субсидия бюджетам сельских поселений на обеспечение комплексного развития сельских территорий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 xml:space="preserve">49999 10 0000 150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межбюджетные трансферты, передаваемые бюджетам сельских поселений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2 07 05030 10 0000 15</w:t>
            </w: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безвозмездные поступления в бюджеты сельских поселений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vMerge w:val="restart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vMerge w:val="restart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2 07 10050 10 0000 18</w:t>
            </w: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vMerge w:val="restart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Прочие </w:t>
            </w:r>
            <w:r>
              <w:rPr>
                <w:sz w:val="24"/>
              </w:rPr>
              <w:t xml:space="preserve">безвозмездные</w:t>
            </w:r>
            <w: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неденежные поступления в бюджеты сельских поселений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2 08 05000 10 0000 15</w:t>
            </w: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Перечисления из бюджетов сельских поселений (в бюд</w:t>
            </w:r>
            <w:r>
              <w:rPr>
                <w:sz w:val="22"/>
                <w:szCs w:val="22"/>
              </w:rPr>
              <w:t xml:space="preserve">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2 18 </w:t>
            </w:r>
            <w:r>
              <w:rPr>
                <w:sz w:val="22"/>
                <w:szCs w:val="22"/>
              </w:rPr>
              <w:t xml:space="preserve">60010 10 0000 150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2 19 0</w:t>
            </w:r>
            <w:r>
              <w:rPr>
                <w:sz w:val="22"/>
                <w:szCs w:val="22"/>
              </w:rPr>
              <w:t xml:space="preserve">0000 10 0000 150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**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206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center"/>
            <w:textDirection w:val="lrTb"/>
            <w:noWrap w:val="false"/>
          </w:tcPr>
          <w:p>
            <w:pPr>
              <w:pStyle w:val="57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182</w:t>
            </w:r>
            <w:r/>
          </w:p>
        </w:tc>
        <w:tc>
          <w:tcPr>
            <w:tcBorders>
              <w:left w:val="non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center"/>
            <w:textDirection w:val="lrTb"/>
            <w:noWrap w:val="false"/>
          </w:tcPr>
          <w:p>
            <w:pPr>
              <w:pStyle w:val="57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Borders>
              <w:left w:val="non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center"/>
            <w:textDirection w:val="lrTb"/>
            <w:noWrap w:val="false"/>
          </w:tcPr>
          <w:p>
            <w:pPr>
              <w:pStyle w:val="57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t xml:space="preserve">Фед</w:t>
            </w:r>
            <w:r>
              <w:rPr>
                <w:b/>
                <w:sz w:val="22"/>
                <w:szCs w:val="22"/>
              </w:rPr>
              <w:t xml:space="preserve">еральная</w:t>
            </w:r>
            <w:r>
              <w:rPr>
                <w:b/>
                <w:sz w:val="22"/>
                <w:szCs w:val="22"/>
              </w:rPr>
              <w:t xml:space="preserve"> налогов</w:t>
            </w:r>
            <w:r>
              <w:rPr>
                <w:b/>
                <w:sz w:val="22"/>
                <w:szCs w:val="22"/>
              </w:rPr>
              <w:t xml:space="preserve">ая</w:t>
            </w:r>
            <w:r>
              <w:rPr>
                <w:b/>
                <w:sz w:val="22"/>
                <w:szCs w:val="22"/>
              </w:rPr>
              <w:t xml:space="preserve"> служб</w:t>
            </w:r>
            <w:r>
              <w:rPr>
                <w:b/>
                <w:sz w:val="22"/>
                <w:szCs w:val="22"/>
              </w:rPr>
              <w:t xml:space="preserve">а</w:t>
            </w:r>
            <w:r>
              <w:rPr>
                <w:b/>
                <w:sz w:val="22"/>
                <w:szCs w:val="22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182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1 03 0223</w:t>
            </w: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 01 0000 110</w:t>
            </w:r>
            <w:r/>
          </w:p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уплаты акцизов на дизельное топливо, подлежащие распределению между бюджетами субъектов Российск</w:t>
            </w:r>
            <w:r>
              <w:rPr>
                <w:sz w:val="22"/>
                <w:szCs w:val="22"/>
              </w:rPr>
              <w:t xml:space="preserve">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182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1 03 0224</w:t>
            </w: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 01 0000 110</w:t>
            </w:r>
            <w:r/>
          </w:p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</w:t>
            </w:r>
            <w:r>
              <w:rPr>
                <w:sz w:val="22"/>
                <w:szCs w:val="22"/>
              </w:rPr>
              <w:t xml:space="preserve">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182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1 03 0225</w:t>
            </w: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 01 0000 110</w:t>
            </w:r>
            <w:r/>
          </w:p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уплаты акцизов на автомобильный бензин, подлежащие распределению между бюджетами субъектов Российск</w:t>
            </w:r>
            <w:r>
              <w:rPr>
                <w:sz w:val="22"/>
                <w:szCs w:val="22"/>
              </w:rPr>
              <w:t xml:space="preserve">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182</w:t>
            </w:r>
            <w:r/>
          </w:p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1 03 0226</w:t>
            </w: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 01 0000 110</w:t>
            </w:r>
            <w:r/>
          </w:p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уплаты акцизов на прямогонный бензин, подлежащие распределению между бюджетами субъектов Российск</w:t>
            </w:r>
            <w:r>
              <w:rPr>
                <w:sz w:val="22"/>
                <w:szCs w:val="22"/>
              </w:rPr>
              <w:t xml:space="preserve">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423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182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1 01 02000 01 0000 110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Налог на доходы физических лиц </w:t>
            </w:r>
            <w:r>
              <w:rPr>
                <w:sz w:val="22"/>
                <w:szCs w:val="22"/>
              </w:rPr>
              <w:t xml:space="preserve">*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414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182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1 05 03000 01 0000 110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Единый сельскохозяйственный налог </w:t>
            </w:r>
            <w:r>
              <w:rPr>
                <w:sz w:val="22"/>
                <w:szCs w:val="22"/>
              </w:rPr>
              <w:t xml:space="preserve">*</w:t>
            </w:r>
            <w:r>
              <w:rPr>
                <w:sz w:val="22"/>
                <w:szCs w:val="22"/>
              </w:rPr>
              <w:t xml:space="preserve"> </w:t>
            </w:r>
            <w:r/>
          </w:p>
        </w:tc>
      </w:tr>
      <w:tr>
        <w:trPr>
          <w:trHeight w:val="420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182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1 06 010</w:t>
            </w:r>
            <w:r>
              <w:rPr>
                <w:sz w:val="22"/>
                <w:szCs w:val="22"/>
              </w:rPr>
              <w:t xml:space="preserve">3</w:t>
            </w:r>
            <w:r>
              <w:rPr>
                <w:sz w:val="22"/>
                <w:szCs w:val="22"/>
              </w:rPr>
              <w:t xml:space="preserve">0 10 0000 110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411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182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1 06 060</w:t>
            </w:r>
            <w:r>
              <w:rPr>
                <w:sz w:val="22"/>
                <w:szCs w:val="22"/>
              </w:rPr>
              <w:t xml:space="preserve">33</w:t>
            </w:r>
            <w:r>
              <w:rPr>
                <w:sz w:val="22"/>
                <w:szCs w:val="22"/>
              </w:rPr>
              <w:t xml:space="preserve"> 10 0000 110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налог с организаций, обладающих земельным участком, расположенным в границах сельских поселений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411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182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1 06 06043 10 0000 110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7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налог с физических лиц, обладающих земельным участком, расположенным в границах сельских поселений</w:t>
            </w:r>
            <w:r>
              <w:rPr>
                <w:sz w:val="22"/>
                <w:szCs w:val="22"/>
              </w:rPr>
            </w:r>
            <w:r/>
          </w:p>
        </w:tc>
      </w:tr>
    </w:tbl>
    <w:p>
      <w:pPr>
        <w:pStyle w:val="574"/>
        <w:rPr>
          <w:sz w:val="22"/>
          <w:szCs w:val="22"/>
        </w:rPr>
        <w:pBdr>
          <w:bottom w:val="single" w:color="000000" w:sz="12" w:space="1"/>
        </w:pBdr>
      </w:pPr>
      <w:r>
        <w:rPr>
          <w:sz w:val="22"/>
          <w:szCs w:val="22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  <w:t xml:space="preserve">Администрирование поступлений по всем подвидам соответствующего вида осуществляется администратором, указанным в группировочном коде бюджетной классификации.</w:t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  <w:t xml:space="preserve">*Администрирование поступлений по всем подстатьям соответствующей статьи осуществляется администратором, указанным в группировочном коде бюджетной классификации.</w:t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  <w:t xml:space="preserve">** Администрирование поступлений по всем статьям и подстатьям вида дохода осуществляется главными администраторами доходов бюджета, администрирующими соответствующие межбюджетные трансферты.</w:t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57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/>
    </w:p>
    <w:sectPr>
      <w:footnotePr/>
      <w:type w:val="nextPage"/>
      <w:pgSz w:w="11906" w:h="16838" w:orient="portrait"/>
      <w:pgMar w:top="794" w:right="851" w:bottom="794" w:left="1418" w:header="720" w:footer="720"/>
      <w:cols w:num="1" w:sep="0" w:space="720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Calibri">
    <w:panose1 w:val="020F0502020204030204"/>
  </w:font>
  <w:font w:name="Tahoma">
    <w:panose1 w:val="020B0604030504040204"/>
  </w:font>
  <w:font w:name="Wingdings">
    <w:panose1 w:val="05000000000000000000"/>
  </w:font>
  <w:font w:name="Courier New">
    <w:panose1 w:val="02070309020205020404"/>
  </w:font>
  <w:font w:name="Arial">
    <w:panose1 w:val="020B0604020202020204"/>
  </w:font>
  <w:font w:name="Arial Unicode MS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575"/>
      <w:isLgl w:val="false"/>
      <w:suff w:val="nothing"/>
      <w:lvlText w:val=""/>
      <w:lvlJc w:val="left"/>
      <w:pPr>
        <w:pStyle w:val="574"/>
        <w:ind w:left="432" w:hanging="432"/>
        <w:tabs>
          <w:tab w:val="left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pStyle w:val="574"/>
        <w:ind w:left="576" w:hanging="576"/>
        <w:tabs>
          <w:tab w:val="left" w:pos="576" w:leader="none"/>
        </w:tabs>
      </w:pPr>
    </w:lvl>
    <w:lvl w:ilvl="2">
      <w:start w:val="1"/>
      <w:numFmt w:val="decimal"/>
      <w:pStyle w:val="576"/>
      <w:isLgl w:val="false"/>
      <w:suff w:val="nothing"/>
      <w:lvlText w:val=""/>
      <w:lvlJc w:val="left"/>
      <w:pPr>
        <w:pStyle w:val="574"/>
        <w:ind w:left="720" w:hanging="720"/>
        <w:tabs>
          <w:tab w:val="left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pStyle w:val="574"/>
        <w:ind w:left="864" w:hanging="864"/>
        <w:tabs>
          <w:tab w:val="left" w:pos="864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pStyle w:val="574"/>
        <w:ind w:left="1008" w:hanging="1008"/>
        <w:tabs>
          <w:tab w:val="left" w:pos="1008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pStyle w:val="574"/>
        <w:ind w:left="1152" w:hanging="1152"/>
        <w:tabs>
          <w:tab w:val="left" w:pos="1152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pStyle w:val="574"/>
        <w:ind w:left="1296" w:hanging="1296"/>
        <w:tabs>
          <w:tab w:val="left" w:pos="1296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pStyle w:val="574"/>
        <w:ind w:left="1440" w:hanging="1440"/>
        <w:tabs>
          <w:tab w:val="left" w:pos="144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pStyle w:val="574"/>
        <w:ind w:left="1584" w:hanging="1584"/>
        <w:tabs>
          <w:tab w:val="left" w:pos="1584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74"/>
        <w:ind w:left="720" w:hanging="360"/>
        <w:tabs>
          <w:tab w:val="left" w:pos="0" w:leader="none"/>
        </w:tabs>
      </w:pPr>
      <w:rPr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574"/>
        <w:ind w:left="720" w:hanging="360"/>
      </w:pPr>
      <w:rPr>
        <w:rFonts w:ascii="Symbol" w:hAnsi="Symbol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pStyle w:val="574"/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574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574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574"/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574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574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574"/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574"/>
        <w:ind w:left="6480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74"/>
        <w:ind w:left="1699" w:hanging="99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574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74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74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74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74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74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74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74"/>
        <w:ind w:left="682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74"/>
        <w:ind w:left="1699" w:hanging="99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574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74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74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74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74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74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74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74"/>
        <w:ind w:left="682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74"/>
        <w:ind w:left="1699" w:hanging="99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574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74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74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74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74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74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74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74"/>
        <w:ind w:left="682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74"/>
        <w:ind w:left="1699" w:hanging="99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574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74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74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74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74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74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74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74"/>
        <w:ind w:left="682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ru-RU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02">
    <w:name w:val="Heading 1"/>
    <w:link w:val="40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03">
    <w:name w:val="Heading 1 Char"/>
    <w:link w:val="402"/>
    <w:uiPriority w:val="9"/>
    <w:rPr>
      <w:rFonts w:ascii="Arial" w:hAnsi="Arial" w:cs="Arial" w:eastAsia="Arial"/>
      <w:sz w:val="40"/>
      <w:szCs w:val="40"/>
    </w:rPr>
  </w:style>
  <w:style w:type="paragraph" w:styleId="404">
    <w:name w:val="Heading 2"/>
    <w:link w:val="405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05">
    <w:name w:val="Heading 2 Char"/>
    <w:link w:val="404"/>
    <w:uiPriority w:val="9"/>
    <w:rPr>
      <w:rFonts w:ascii="Arial" w:hAnsi="Arial" w:cs="Arial" w:eastAsia="Arial"/>
      <w:sz w:val="34"/>
    </w:rPr>
  </w:style>
  <w:style w:type="paragraph" w:styleId="406">
    <w:name w:val="Heading 3"/>
    <w:link w:val="407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07">
    <w:name w:val="Heading 3 Char"/>
    <w:link w:val="406"/>
    <w:uiPriority w:val="9"/>
    <w:rPr>
      <w:rFonts w:ascii="Arial" w:hAnsi="Arial" w:cs="Arial" w:eastAsia="Arial"/>
      <w:sz w:val="30"/>
      <w:szCs w:val="30"/>
    </w:rPr>
  </w:style>
  <w:style w:type="paragraph" w:styleId="408">
    <w:name w:val="Heading 4"/>
    <w:link w:val="40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09">
    <w:name w:val="Heading 4 Char"/>
    <w:link w:val="408"/>
    <w:uiPriority w:val="9"/>
    <w:rPr>
      <w:rFonts w:ascii="Arial" w:hAnsi="Arial" w:cs="Arial" w:eastAsia="Arial"/>
      <w:b/>
      <w:bCs/>
      <w:sz w:val="26"/>
      <w:szCs w:val="26"/>
    </w:rPr>
  </w:style>
  <w:style w:type="paragraph" w:styleId="410">
    <w:name w:val="Heading 5"/>
    <w:link w:val="41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11">
    <w:name w:val="Heading 5 Char"/>
    <w:link w:val="410"/>
    <w:uiPriority w:val="9"/>
    <w:rPr>
      <w:rFonts w:ascii="Arial" w:hAnsi="Arial" w:cs="Arial" w:eastAsia="Arial"/>
      <w:b/>
      <w:bCs/>
      <w:sz w:val="24"/>
      <w:szCs w:val="24"/>
    </w:rPr>
  </w:style>
  <w:style w:type="paragraph" w:styleId="412">
    <w:name w:val="Heading 6"/>
    <w:link w:val="413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13">
    <w:name w:val="Heading 6 Char"/>
    <w:link w:val="412"/>
    <w:uiPriority w:val="9"/>
    <w:rPr>
      <w:rFonts w:ascii="Arial" w:hAnsi="Arial" w:cs="Arial" w:eastAsia="Arial"/>
      <w:b/>
      <w:bCs/>
      <w:sz w:val="22"/>
      <w:szCs w:val="22"/>
    </w:rPr>
  </w:style>
  <w:style w:type="paragraph" w:styleId="414">
    <w:name w:val="Heading 7"/>
    <w:link w:val="415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15">
    <w:name w:val="Heading 7 Char"/>
    <w:link w:val="41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16">
    <w:name w:val="Heading 8"/>
    <w:link w:val="417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17">
    <w:name w:val="Heading 8 Char"/>
    <w:link w:val="416"/>
    <w:uiPriority w:val="9"/>
    <w:rPr>
      <w:rFonts w:ascii="Arial" w:hAnsi="Arial" w:cs="Arial" w:eastAsia="Arial"/>
      <w:i/>
      <w:iCs/>
      <w:sz w:val="22"/>
      <w:szCs w:val="22"/>
    </w:rPr>
  </w:style>
  <w:style w:type="paragraph" w:styleId="418">
    <w:name w:val="Heading 9"/>
    <w:link w:val="41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19">
    <w:name w:val="Heading 9 Char"/>
    <w:link w:val="418"/>
    <w:uiPriority w:val="9"/>
    <w:rPr>
      <w:rFonts w:ascii="Arial" w:hAnsi="Arial" w:cs="Arial" w:eastAsia="Arial"/>
      <w:i/>
      <w:iCs/>
      <w:sz w:val="21"/>
      <w:szCs w:val="21"/>
    </w:rPr>
  </w:style>
  <w:style w:type="paragraph" w:styleId="420">
    <w:name w:val="List Paragraph"/>
    <w:qFormat/>
    <w:uiPriority w:val="34"/>
    <w:pPr>
      <w:contextualSpacing w:val="true"/>
      <w:ind w:left="720"/>
    </w:pPr>
  </w:style>
  <w:style w:type="paragraph" w:styleId="421">
    <w:name w:val="No Spacing"/>
    <w:qFormat/>
    <w:uiPriority w:val="1"/>
    <w:pPr>
      <w:spacing w:lineRule="auto" w:line="240" w:after="0" w:before="0"/>
    </w:pPr>
  </w:style>
  <w:style w:type="paragraph" w:styleId="422">
    <w:name w:val="Title"/>
    <w:link w:val="42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23">
    <w:name w:val="Title Char"/>
    <w:link w:val="422"/>
    <w:uiPriority w:val="10"/>
    <w:rPr>
      <w:sz w:val="48"/>
      <w:szCs w:val="48"/>
    </w:rPr>
  </w:style>
  <w:style w:type="paragraph" w:styleId="424">
    <w:name w:val="Subtitle"/>
    <w:link w:val="425"/>
    <w:qFormat/>
    <w:uiPriority w:val="11"/>
    <w:rPr>
      <w:sz w:val="24"/>
      <w:szCs w:val="24"/>
    </w:rPr>
    <w:pPr>
      <w:spacing w:after="200" w:before="200"/>
    </w:pPr>
  </w:style>
  <w:style w:type="character" w:styleId="425">
    <w:name w:val="Subtitle Char"/>
    <w:link w:val="424"/>
    <w:uiPriority w:val="11"/>
    <w:rPr>
      <w:sz w:val="24"/>
      <w:szCs w:val="24"/>
    </w:rPr>
  </w:style>
  <w:style w:type="paragraph" w:styleId="426">
    <w:name w:val="Quote"/>
    <w:link w:val="427"/>
    <w:qFormat/>
    <w:uiPriority w:val="29"/>
    <w:rPr>
      <w:i/>
    </w:rPr>
    <w:pPr>
      <w:ind w:left="720" w:right="720"/>
    </w:pPr>
  </w:style>
  <w:style w:type="character" w:styleId="427">
    <w:name w:val="Quote Char"/>
    <w:link w:val="426"/>
    <w:uiPriority w:val="29"/>
    <w:rPr>
      <w:i/>
    </w:rPr>
  </w:style>
  <w:style w:type="paragraph" w:styleId="428">
    <w:name w:val="Intense Quote"/>
    <w:link w:val="42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29">
    <w:name w:val="Intense Quote Char"/>
    <w:link w:val="428"/>
    <w:uiPriority w:val="30"/>
    <w:rPr>
      <w:i/>
    </w:rPr>
  </w:style>
  <w:style w:type="paragraph" w:styleId="430">
    <w:name w:val="Header"/>
    <w:link w:val="4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1">
    <w:name w:val="Header Char"/>
    <w:link w:val="430"/>
    <w:uiPriority w:val="99"/>
  </w:style>
  <w:style w:type="paragraph" w:styleId="432">
    <w:name w:val="Footer"/>
    <w:link w:val="43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3">
    <w:name w:val="Footer Char"/>
    <w:link w:val="432"/>
    <w:uiPriority w:val="99"/>
  </w:style>
  <w:style w:type="table" w:styleId="434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35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36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37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38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39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0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41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2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3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4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5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6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7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8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49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50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51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52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53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54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55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6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7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8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9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0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1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2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63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64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65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66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67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68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69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70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71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72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73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74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75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76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77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78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79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80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81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82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83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84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85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86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87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88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89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90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91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92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93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94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495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96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97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498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499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00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01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02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03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04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6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7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8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9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0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1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2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3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4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5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6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7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8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9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0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1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2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3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4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5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26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27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28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29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30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31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32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33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34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35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36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37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38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39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40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41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42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43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44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45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46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47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48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49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50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51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52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53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54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55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56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57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58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59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60">
    <w:name w:val="Hyperlink"/>
    <w:uiPriority w:val="99"/>
    <w:unhideWhenUsed/>
    <w:rPr>
      <w:color w:val="0000FF" w:themeColor="hyperlink"/>
      <w:u w:val="single"/>
    </w:rPr>
  </w:style>
  <w:style w:type="paragraph" w:styleId="561">
    <w:name w:val="footnote text"/>
    <w:link w:val="562"/>
    <w:uiPriority w:val="99"/>
    <w:semiHidden/>
    <w:unhideWhenUsed/>
    <w:rPr>
      <w:sz w:val="18"/>
    </w:rPr>
    <w:pPr>
      <w:spacing w:lineRule="auto" w:line="240" w:after="40"/>
    </w:pPr>
  </w:style>
  <w:style w:type="character" w:styleId="562">
    <w:name w:val="Footnote Text Char"/>
    <w:link w:val="561"/>
    <w:uiPriority w:val="99"/>
    <w:rPr>
      <w:sz w:val="18"/>
    </w:rPr>
  </w:style>
  <w:style w:type="character" w:styleId="563">
    <w:name w:val="footnote reference"/>
    <w:uiPriority w:val="99"/>
    <w:unhideWhenUsed/>
    <w:rPr>
      <w:vertAlign w:val="superscript"/>
    </w:rPr>
  </w:style>
  <w:style w:type="paragraph" w:styleId="564">
    <w:name w:val="toc 1"/>
    <w:uiPriority w:val="39"/>
    <w:unhideWhenUsed/>
    <w:pPr>
      <w:ind w:left="0" w:right="0" w:firstLine="0"/>
      <w:spacing w:after="57"/>
    </w:pPr>
  </w:style>
  <w:style w:type="paragraph" w:styleId="565">
    <w:name w:val="toc 2"/>
    <w:uiPriority w:val="39"/>
    <w:unhideWhenUsed/>
    <w:pPr>
      <w:ind w:left="283" w:right="0" w:firstLine="0"/>
      <w:spacing w:after="57"/>
    </w:pPr>
  </w:style>
  <w:style w:type="paragraph" w:styleId="566">
    <w:name w:val="toc 3"/>
    <w:uiPriority w:val="39"/>
    <w:unhideWhenUsed/>
    <w:pPr>
      <w:ind w:left="567" w:right="0" w:firstLine="0"/>
      <w:spacing w:after="57"/>
    </w:pPr>
  </w:style>
  <w:style w:type="paragraph" w:styleId="567">
    <w:name w:val="toc 4"/>
    <w:uiPriority w:val="39"/>
    <w:unhideWhenUsed/>
    <w:pPr>
      <w:ind w:left="850" w:right="0" w:firstLine="0"/>
      <w:spacing w:after="57"/>
    </w:pPr>
  </w:style>
  <w:style w:type="paragraph" w:styleId="568">
    <w:name w:val="toc 5"/>
    <w:uiPriority w:val="39"/>
    <w:unhideWhenUsed/>
    <w:pPr>
      <w:ind w:left="1134" w:right="0" w:firstLine="0"/>
      <w:spacing w:after="57"/>
    </w:pPr>
  </w:style>
  <w:style w:type="paragraph" w:styleId="569">
    <w:name w:val="toc 6"/>
    <w:uiPriority w:val="39"/>
    <w:unhideWhenUsed/>
    <w:pPr>
      <w:ind w:left="1417" w:right="0" w:firstLine="0"/>
      <w:spacing w:after="57"/>
    </w:pPr>
  </w:style>
  <w:style w:type="paragraph" w:styleId="570">
    <w:name w:val="toc 7"/>
    <w:uiPriority w:val="39"/>
    <w:unhideWhenUsed/>
    <w:pPr>
      <w:ind w:left="1701" w:right="0" w:firstLine="0"/>
      <w:spacing w:after="57"/>
    </w:pPr>
  </w:style>
  <w:style w:type="paragraph" w:styleId="571">
    <w:name w:val="toc 8"/>
    <w:uiPriority w:val="39"/>
    <w:unhideWhenUsed/>
    <w:pPr>
      <w:ind w:left="1984" w:right="0" w:firstLine="0"/>
      <w:spacing w:after="57"/>
    </w:pPr>
  </w:style>
  <w:style w:type="paragraph" w:styleId="572">
    <w:name w:val="toc 9"/>
    <w:uiPriority w:val="39"/>
    <w:unhideWhenUsed/>
    <w:pPr>
      <w:ind w:left="2268" w:right="0" w:firstLine="0"/>
      <w:spacing w:after="57"/>
    </w:pPr>
  </w:style>
  <w:style w:type="paragraph" w:styleId="573">
    <w:name w:val="TOC Heading"/>
    <w:uiPriority w:val="39"/>
    <w:unhideWhenUsed/>
  </w:style>
  <w:style w:type="paragraph" w:styleId="574">
    <w:name w:val="Обычный"/>
    <w:next w:val="574"/>
    <w:link w:val="574"/>
    <w:rPr>
      <w:sz w:val="24"/>
      <w:szCs w:val="24"/>
      <w:lang w:val="ru-RU" w:bidi="ar-SA" w:eastAsia="ar-SA"/>
    </w:rPr>
  </w:style>
  <w:style w:type="paragraph" w:styleId="575">
    <w:name w:val="Заголовок 1"/>
    <w:basedOn w:val="574"/>
    <w:next w:val="574"/>
    <w:link w:val="574"/>
    <w:rPr>
      <w:b/>
      <w:bCs/>
      <w:sz w:val="23"/>
      <w:szCs w:val="23"/>
    </w:rPr>
    <w:pPr>
      <w:numPr>
        <w:ilvl w:val="0"/>
        <w:numId w:val="1"/>
      </w:numPr>
      <w:jc w:val="both"/>
      <w:keepNext/>
      <w:outlineLvl w:val="0"/>
    </w:pPr>
  </w:style>
  <w:style w:type="paragraph" w:styleId="576">
    <w:name w:val="Заголовок 3"/>
    <w:basedOn w:val="609"/>
    <w:next w:val="610"/>
    <w:link w:val="574"/>
    <w:rPr>
      <w:b/>
      <w:bCs/>
      <w:sz w:val="28"/>
      <w:szCs w:val="28"/>
    </w:rPr>
    <w:pPr>
      <w:numPr>
        <w:ilvl w:val="2"/>
        <w:numId w:val="1"/>
      </w:numPr>
      <w:outlineLvl w:val="2"/>
    </w:pPr>
  </w:style>
  <w:style w:type="character" w:styleId="577">
    <w:name w:val="Основной шрифт абзаца"/>
    <w:next w:val="577"/>
    <w:link w:val="574"/>
    <w:semiHidden/>
  </w:style>
  <w:style w:type="table" w:styleId="578">
    <w:name w:val="Обычная таблица"/>
    <w:next w:val="578"/>
    <w:link w:val="574"/>
    <w:semiHidden/>
    <w:tblPr/>
  </w:style>
  <w:style w:type="numbering" w:styleId="579">
    <w:name w:val="Нет списка"/>
    <w:next w:val="579"/>
    <w:link w:val="574"/>
    <w:semiHidden/>
  </w:style>
  <w:style w:type="character" w:styleId="580">
    <w:name w:val="WW8Num1z0"/>
    <w:next w:val="580"/>
    <w:link w:val="574"/>
  </w:style>
  <w:style w:type="character" w:styleId="581">
    <w:name w:val="WW8Num1z1"/>
    <w:next w:val="581"/>
    <w:link w:val="574"/>
  </w:style>
  <w:style w:type="character" w:styleId="582">
    <w:name w:val="WW8Num1z2"/>
    <w:next w:val="582"/>
    <w:link w:val="574"/>
  </w:style>
  <w:style w:type="character" w:styleId="583">
    <w:name w:val="WW8Num1z3"/>
    <w:next w:val="583"/>
    <w:link w:val="574"/>
  </w:style>
  <w:style w:type="character" w:styleId="584">
    <w:name w:val="WW8Num1z4"/>
    <w:next w:val="584"/>
    <w:link w:val="574"/>
  </w:style>
  <w:style w:type="character" w:styleId="585">
    <w:name w:val="WW8Num1z5"/>
    <w:next w:val="585"/>
    <w:link w:val="574"/>
  </w:style>
  <w:style w:type="character" w:styleId="586">
    <w:name w:val="WW8Num1z6"/>
    <w:next w:val="586"/>
    <w:link w:val="574"/>
  </w:style>
  <w:style w:type="character" w:styleId="587">
    <w:name w:val="WW8Num1z7"/>
    <w:next w:val="587"/>
    <w:link w:val="574"/>
  </w:style>
  <w:style w:type="character" w:styleId="588">
    <w:name w:val="WW8Num1z8"/>
    <w:next w:val="588"/>
    <w:link w:val="574"/>
  </w:style>
  <w:style w:type="character" w:styleId="589">
    <w:name w:val="WW8Num2z0"/>
    <w:next w:val="589"/>
    <w:link w:val="574"/>
    <w:rPr>
      <w:b/>
    </w:rPr>
  </w:style>
  <w:style w:type="character" w:styleId="590">
    <w:name w:val="WW8Num2z1"/>
    <w:next w:val="590"/>
    <w:link w:val="574"/>
  </w:style>
  <w:style w:type="character" w:styleId="591">
    <w:name w:val="WW8Num2z2"/>
    <w:next w:val="591"/>
    <w:link w:val="574"/>
  </w:style>
  <w:style w:type="character" w:styleId="592">
    <w:name w:val="WW8Num2z3"/>
    <w:next w:val="592"/>
    <w:link w:val="574"/>
  </w:style>
  <w:style w:type="character" w:styleId="593">
    <w:name w:val="WW8Num2z4"/>
    <w:next w:val="593"/>
    <w:link w:val="574"/>
  </w:style>
  <w:style w:type="character" w:styleId="594">
    <w:name w:val="WW8Num2z5"/>
    <w:next w:val="594"/>
    <w:link w:val="574"/>
  </w:style>
  <w:style w:type="character" w:styleId="595">
    <w:name w:val="WW8Num2z6"/>
    <w:next w:val="595"/>
    <w:link w:val="574"/>
  </w:style>
  <w:style w:type="character" w:styleId="596">
    <w:name w:val="WW8Num2z7"/>
    <w:next w:val="596"/>
    <w:link w:val="574"/>
  </w:style>
  <w:style w:type="character" w:styleId="597">
    <w:name w:val="WW8Num2z8"/>
    <w:next w:val="597"/>
    <w:link w:val="574"/>
  </w:style>
  <w:style w:type="character" w:styleId="598">
    <w:name w:val="WW8Num3z0"/>
    <w:next w:val="598"/>
    <w:link w:val="574"/>
  </w:style>
  <w:style w:type="character" w:styleId="599">
    <w:name w:val="WW8Num3z1"/>
    <w:next w:val="599"/>
    <w:link w:val="574"/>
  </w:style>
  <w:style w:type="character" w:styleId="600">
    <w:name w:val="WW8Num3z2"/>
    <w:next w:val="600"/>
    <w:link w:val="574"/>
  </w:style>
  <w:style w:type="character" w:styleId="601">
    <w:name w:val="WW8Num3z3"/>
    <w:next w:val="601"/>
    <w:link w:val="574"/>
  </w:style>
  <w:style w:type="character" w:styleId="602">
    <w:name w:val="WW8Num3z4"/>
    <w:next w:val="602"/>
    <w:link w:val="574"/>
  </w:style>
  <w:style w:type="character" w:styleId="603">
    <w:name w:val="WW8Num3z5"/>
    <w:next w:val="603"/>
    <w:link w:val="574"/>
  </w:style>
  <w:style w:type="character" w:styleId="604">
    <w:name w:val="WW8Num3z6"/>
    <w:next w:val="604"/>
    <w:link w:val="574"/>
  </w:style>
  <w:style w:type="character" w:styleId="605">
    <w:name w:val="WW8Num3z7"/>
    <w:next w:val="605"/>
    <w:link w:val="574"/>
  </w:style>
  <w:style w:type="character" w:styleId="606">
    <w:name w:val="WW8Num3z8"/>
    <w:next w:val="606"/>
    <w:link w:val="574"/>
  </w:style>
  <w:style w:type="character" w:styleId="607">
    <w:name w:val="Основной шрифт абзаца1"/>
    <w:next w:val="607"/>
    <w:link w:val="574"/>
  </w:style>
  <w:style w:type="character" w:styleId="608">
    <w:name w:val="Заголовок 1 Знак"/>
    <w:next w:val="608"/>
    <w:link w:val="574"/>
    <w:rPr>
      <w:b/>
      <w:bCs/>
      <w:sz w:val="23"/>
      <w:szCs w:val="23"/>
    </w:rPr>
  </w:style>
  <w:style w:type="paragraph" w:styleId="609">
    <w:name w:val="Заголовок"/>
    <w:basedOn w:val="574"/>
    <w:next w:val="610"/>
    <w:link w:val="574"/>
    <w:rPr>
      <w:rFonts w:ascii="Arial" w:hAnsi="Arial" w:eastAsia="Arial Unicode MS"/>
      <w:sz w:val="28"/>
      <w:szCs w:val="28"/>
    </w:rPr>
    <w:pPr>
      <w:keepNext/>
      <w:spacing w:after="120" w:before="240"/>
    </w:pPr>
  </w:style>
  <w:style w:type="paragraph" w:styleId="610">
    <w:name w:val="Основной текст"/>
    <w:basedOn w:val="574"/>
    <w:next w:val="610"/>
    <w:link w:val="574"/>
    <w:pPr>
      <w:spacing w:after="120" w:before="0"/>
    </w:pPr>
  </w:style>
  <w:style w:type="paragraph" w:styleId="611">
    <w:name w:val="Список"/>
    <w:basedOn w:val="610"/>
    <w:next w:val="611"/>
    <w:link w:val="574"/>
  </w:style>
  <w:style w:type="paragraph" w:styleId="612">
    <w:name w:val="Название1"/>
    <w:basedOn w:val="574"/>
    <w:next w:val="612"/>
    <w:link w:val="574"/>
    <w:rPr>
      <w:i/>
      <w:iCs/>
      <w:sz w:val="24"/>
      <w:szCs w:val="24"/>
    </w:rPr>
    <w:pPr>
      <w:spacing w:after="120" w:before="120"/>
    </w:pPr>
  </w:style>
  <w:style w:type="paragraph" w:styleId="613">
    <w:name w:val="Указатель1"/>
    <w:basedOn w:val="574"/>
    <w:next w:val="613"/>
    <w:link w:val="574"/>
  </w:style>
  <w:style w:type="paragraph" w:styleId="614">
    <w:name w:val="ConsNonformat"/>
    <w:next w:val="614"/>
    <w:link w:val="574"/>
    <w:rPr>
      <w:rFonts w:ascii="Courier New" w:hAnsi="Courier New"/>
      <w:lang w:val="ru-RU" w:bidi="ar-SA" w:eastAsia="ar-SA"/>
    </w:rPr>
    <w:pPr>
      <w:ind w:right="19772"/>
    </w:pPr>
  </w:style>
  <w:style w:type="paragraph" w:styleId="615">
    <w:name w:val="ConsTitle"/>
    <w:next w:val="615"/>
    <w:link w:val="574"/>
    <w:rPr>
      <w:rFonts w:ascii="Arial" w:hAnsi="Arial"/>
      <w:b/>
      <w:bCs/>
      <w:sz w:val="16"/>
      <w:szCs w:val="16"/>
      <w:lang w:val="ru-RU" w:bidi="ar-SA" w:eastAsia="ar-SA"/>
    </w:rPr>
    <w:pPr>
      <w:ind w:right="19772"/>
    </w:pPr>
  </w:style>
  <w:style w:type="paragraph" w:styleId="616">
    <w:name w:val="ConsCell"/>
    <w:next w:val="616"/>
    <w:link w:val="574"/>
    <w:rPr>
      <w:rFonts w:ascii="Arial" w:hAnsi="Arial"/>
      <w:lang w:val="ru-RU" w:bidi="ar-SA" w:eastAsia="ar-SA"/>
    </w:rPr>
    <w:pPr>
      <w:ind w:right="19772"/>
    </w:pPr>
  </w:style>
  <w:style w:type="paragraph" w:styleId="617">
    <w:name w:val="Plain Text"/>
    <w:basedOn w:val="574"/>
    <w:next w:val="617"/>
    <w:link w:val="574"/>
    <w:rPr>
      <w:rFonts w:ascii="Courier New" w:hAnsi="Courier New"/>
      <w:sz w:val="20"/>
      <w:szCs w:val="20"/>
    </w:rPr>
    <w:pPr>
      <w:widowControl w:val="off"/>
    </w:pPr>
  </w:style>
  <w:style w:type="paragraph" w:styleId="618">
    <w:name w:val="Содержимое таблицы"/>
    <w:basedOn w:val="574"/>
    <w:next w:val="618"/>
    <w:link w:val="574"/>
  </w:style>
  <w:style w:type="paragraph" w:styleId="619">
    <w:name w:val="Заголовок таблицы"/>
    <w:basedOn w:val="618"/>
    <w:next w:val="619"/>
    <w:link w:val="574"/>
    <w:rPr>
      <w:b/>
      <w:bCs/>
    </w:rPr>
    <w:pPr>
      <w:jc w:val="center"/>
    </w:pPr>
  </w:style>
  <w:style w:type="paragraph" w:styleId="620">
    <w:name w:val="Обычный (веб)"/>
    <w:basedOn w:val="574"/>
    <w:next w:val="620"/>
    <w:link w:val="574"/>
    <w:rPr>
      <w:lang w:eastAsia="ru-RU"/>
    </w:rPr>
    <w:pPr>
      <w:spacing w:after="119" w:before="100" w:beforeAutospacing="1"/>
    </w:pPr>
  </w:style>
  <w:style w:type="paragraph" w:styleId="621">
    <w:name w:val="Текст выноски"/>
    <w:basedOn w:val="574"/>
    <w:next w:val="621"/>
    <w:link w:val="574"/>
    <w:semiHidden/>
    <w:rPr>
      <w:rFonts w:ascii="Tahoma" w:hAnsi="Tahoma"/>
      <w:sz w:val="16"/>
      <w:szCs w:val="16"/>
    </w:rPr>
  </w:style>
  <w:style w:type="paragraph" w:styleId="622">
    <w:name w:val="Текст1"/>
    <w:basedOn w:val="574"/>
    <w:next w:val="622"/>
    <w:link w:val="574"/>
    <w:rPr>
      <w:rFonts w:ascii="Courier New" w:hAnsi="Courier New" w:eastAsia="Calibri"/>
      <w:sz w:val="20"/>
      <w:szCs w:val="20"/>
      <w:lang w:val="en-US" w:eastAsia="en-US"/>
    </w:rPr>
    <w:pPr>
      <w:spacing w:lineRule="auto" w:line="276" w:after="200"/>
      <w:widowControl w:val="off"/>
    </w:pPr>
  </w:style>
  <w:style w:type="paragraph" w:styleId="623">
    <w:name w:val="ConsPlusNonformat"/>
    <w:next w:val="623"/>
    <w:link w:val="574"/>
    <w:rPr>
      <w:rFonts w:ascii="Courier New" w:hAnsi="Courier New" w:eastAsia="Calibri"/>
      <w:sz w:val="22"/>
      <w:szCs w:val="22"/>
      <w:lang w:val="ru-RU" w:bidi="ar-SA" w:eastAsia="ru-RU"/>
    </w:rPr>
    <w:pPr>
      <w:spacing w:lineRule="auto" w:line="276" w:after="200"/>
      <w:widowControl w:val="off"/>
    </w:pPr>
  </w:style>
  <w:style w:type="character" w:styleId="624" w:default="1">
    <w:name w:val="Default Paragraph Font"/>
    <w:uiPriority w:val="1"/>
    <w:semiHidden/>
    <w:unhideWhenUsed/>
  </w:style>
  <w:style w:type="numbering" w:styleId="625" w:default="1">
    <w:name w:val="No List"/>
    <w:uiPriority w:val="99"/>
    <w:semiHidden/>
    <w:unhideWhenUsed/>
  </w:style>
  <w:style w:type="paragraph" w:styleId="626" w:default="1">
    <w:name w:val="Normal"/>
    <w:qFormat/>
  </w:style>
  <w:style w:type="table" w:styleId="627" w:default="1">
    <w:name w:val="Normal Table"/>
    <w:uiPriority w:val="99"/>
    <w:semiHidden/>
    <w:unhideWhenUsed/>
    <w:tblPr/>
  </w:style>
  <w:style w:type="paragraph" w:styleId="628">
    <w:name w:val="Основной текст 2"/>
    <w:basedOn w:val="568"/>
    <w:next w:val="577"/>
    <w:link w:val="568"/>
    <w:rPr>
      <w:rFonts w:ascii="Times New Roman" w:hAnsi="Times New Roman" w:cs="Times New Roman" w:eastAsia="Times New Roman"/>
      <w:b/>
      <w:bCs w:val="false"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position w:val="0"/>
      <w:sz w:val="28"/>
      <w:szCs w:val="20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0" w:afterAutospacing="0" w:before="0" w:beforeAutospacing="0"/>
      <w:shd w:val="nil" w:color="auto" w:fill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15</cp:revision>
  <dcterms:modified xsi:type="dcterms:W3CDTF">2023-06-27T06:21:18Z</dcterms:modified>
</cp:coreProperties>
</file>